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0C7EB" w14:textId="77777777" w:rsidR="00E26947" w:rsidRDefault="0054716A" w:rsidP="0054716A">
      <w:pPr>
        <w:tabs>
          <w:tab w:val="left" w:pos="1659"/>
        </w:tabs>
        <w:spacing w:before="90"/>
        <w:ind w:left="130"/>
        <w:rPr>
          <w:rFonts w:ascii="Tahoma"/>
          <w:sz w:val="15"/>
        </w:rPr>
      </w:pPr>
      <w:r>
        <w:rPr>
          <w:rFonts w:ascii="Tahoma"/>
          <w:b/>
          <w:sz w:val="15"/>
        </w:rPr>
        <w:t>From:</w:t>
      </w:r>
      <w:r>
        <w:rPr>
          <w:rFonts w:ascii="Tahoma"/>
          <w:b/>
          <w:sz w:val="15"/>
        </w:rPr>
        <w:tab/>
      </w:r>
      <w:r>
        <w:rPr>
          <w:rFonts w:ascii="Tahoma"/>
          <w:sz w:val="15"/>
        </w:rPr>
        <w:t>Bob de</w:t>
      </w:r>
      <w:r>
        <w:rPr>
          <w:rFonts w:ascii="Tahoma"/>
          <w:spacing w:val="-1"/>
          <w:sz w:val="15"/>
        </w:rPr>
        <w:t xml:space="preserve"> </w:t>
      </w:r>
      <w:r>
        <w:rPr>
          <w:rFonts w:ascii="Tahoma"/>
          <w:sz w:val="15"/>
        </w:rPr>
        <w:t>Wit</w:t>
      </w:r>
    </w:p>
    <w:p w14:paraId="47223CAA" w14:textId="77777777" w:rsidR="00E26947" w:rsidRDefault="0054716A" w:rsidP="0054716A">
      <w:pPr>
        <w:tabs>
          <w:tab w:val="left" w:pos="1659"/>
        </w:tabs>
        <w:spacing w:before="29"/>
        <w:ind w:left="130"/>
        <w:rPr>
          <w:rFonts w:ascii="Tahoma"/>
          <w:sz w:val="15"/>
        </w:rPr>
      </w:pPr>
      <w:r>
        <w:rPr>
          <w:rFonts w:ascii="Tahoma"/>
          <w:b/>
          <w:sz w:val="15"/>
        </w:rPr>
        <w:t>To:</w:t>
      </w:r>
      <w:r>
        <w:rPr>
          <w:rFonts w:ascii="Tahoma"/>
          <w:b/>
          <w:sz w:val="15"/>
        </w:rPr>
        <w:tab/>
      </w:r>
      <w:r>
        <w:rPr>
          <w:rFonts w:ascii="Tahoma"/>
          <w:color w:val="0000FF"/>
          <w:sz w:val="15"/>
          <w:u w:val="single" w:color="0000FF"/>
        </w:rPr>
        <w:t>Membership at</w:t>
      </w:r>
      <w:r>
        <w:rPr>
          <w:rFonts w:ascii="Tahoma"/>
          <w:color w:val="0000FF"/>
          <w:spacing w:val="-1"/>
          <w:sz w:val="15"/>
          <w:u w:val="single" w:color="0000FF"/>
        </w:rPr>
        <w:t xml:space="preserve"> </w:t>
      </w:r>
      <w:r>
        <w:rPr>
          <w:rFonts w:ascii="Tahoma"/>
          <w:color w:val="0000FF"/>
          <w:sz w:val="15"/>
          <w:u w:val="single" w:color="0000FF"/>
        </w:rPr>
        <w:t>GVHBA</w:t>
      </w:r>
    </w:p>
    <w:p w14:paraId="077E2BBD" w14:textId="77777777" w:rsidR="00E26947" w:rsidRDefault="0054716A" w:rsidP="0054716A">
      <w:pPr>
        <w:tabs>
          <w:tab w:val="left" w:pos="1659"/>
        </w:tabs>
        <w:spacing w:before="29"/>
        <w:ind w:left="130"/>
        <w:rPr>
          <w:rFonts w:ascii="Tahoma"/>
          <w:sz w:val="15"/>
        </w:rPr>
      </w:pPr>
      <w:r>
        <w:rPr>
          <w:rFonts w:ascii="Tahoma"/>
          <w:b/>
          <w:sz w:val="15"/>
        </w:rPr>
        <w:t>Subject:</w:t>
      </w:r>
      <w:r>
        <w:rPr>
          <w:rFonts w:ascii="Tahoma"/>
          <w:b/>
          <w:sz w:val="15"/>
        </w:rPr>
        <w:tab/>
      </w:r>
      <w:r>
        <w:rPr>
          <w:rFonts w:ascii="Tahoma"/>
          <w:sz w:val="15"/>
        </w:rPr>
        <w:t>SPECIAL BULLETIN: PROV"L</w:t>
      </w:r>
      <w:r>
        <w:rPr>
          <w:rFonts w:ascii="Tahoma"/>
          <w:spacing w:val="-1"/>
          <w:sz w:val="15"/>
        </w:rPr>
        <w:t xml:space="preserve"> </w:t>
      </w:r>
      <w:r>
        <w:rPr>
          <w:rFonts w:ascii="Tahoma"/>
          <w:sz w:val="15"/>
        </w:rPr>
        <w:t>BUDGET</w:t>
      </w:r>
    </w:p>
    <w:p w14:paraId="0E60AD4E" w14:textId="77777777" w:rsidR="00E26947" w:rsidRDefault="0054716A" w:rsidP="0054716A">
      <w:pPr>
        <w:tabs>
          <w:tab w:val="left" w:pos="1659"/>
        </w:tabs>
        <w:spacing w:before="28"/>
        <w:ind w:left="130"/>
        <w:rPr>
          <w:rFonts w:ascii="Tahoma"/>
          <w:sz w:val="15"/>
        </w:rPr>
      </w:pPr>
      <w:r>
        <w:rPr>
          <w:rFonts w:ascii="Tahoma"/>
          <w:b/>
          <w:sz w:val="15"/>
        </w:rPr>
        <w:t>Date:</w:t>
      </w:r>
      <w:r>
        <w:rPr>
          <w:rFonts w:ascii="Tahoma"/>
          <w:b/>
          <w:sz w:val="15"/>
        </w:rPr>
        <w:tab/>
      </w:r>
      <w:r>
        <w:rPr>
          <w:rFonts w:ascii="Tahoma"/>
          <w:sz w:val="15"/>
        </w:rPr>
        <w:t>February 20, 2018 3:27:22</w:t>
      </w:r>
      <w:r>
        <w:rPr>
          <w:rFonts w:ascii="Tahoma"/>
          <w:spacing w:val="-1"/>
          <w:sz w:val="15"/>
        </w:rPr>
        <w:t xml:space="preserve"> </w:t>
      </w:r>
      <w:r>
        <w:rPr>
          <w:rFonts w:ascii="Tahoma"/>
          <w:sz w:val="15"/>
        </w:rPr>
        <w:t>PM</w:t>
      </w:r>
    </w:p>
    <w:p w14:paraId="2DE5534B" w14:textId="77777777" w:rsidR="00E26947" w:rsidRDefault="0054716A" w:rsidP="0054716A">
      <w:pPr>
        <w:tabs>
          <w:tab w:val="left" w:pos="1659"/>
        </w:tabs>
        <w:spacing w:before="29"/>
        <w:ind w:left="130"/>
        <w:rPr>
          <w:rFonts w:ascii="Tahoma"/>
          <w:sz w:val="15"/>
        </w:rPr>
      </w:pPr>
      <w:r>
        <w:rPr>
          <w:rFonts w:ascii="Tahoma"/>
          <w:b/>
          <w:sz w:val="15"/>
        </w:rPr>
        <w:t>Importance:</w:t>
      </w:r>
      <w:r>
        <w:rPr>
          <w:rFonts w:ascii="Tahoma"/>
          <w:b/>
          <w:sz w:val="15"/>
        </w:rPr>
        <w:tab/>
      </w:r>
      <w:r>
        <w:rPr>
          <w:rFonts w:ascii="Tahoma"/>
          <w:sz w:val="15"/>
        </w:rPr>
        <w:t>High</w:t>
      </w:r>
    </w:p>
    <w:p w14:paraId="51B92270" w14:textId="77777777" w:rsidR="00E26947" w:rsidRDefault="0054716A" w:rsidP="0054716A">
      <w:pPr>
        <w:pStyle w:val="BodyText"/>
        <w:spacing w:before="1"/>
        <w:rPr>
          <w:rFonts w:ascii="Tahoma"/>
          <w:sz w:val="9"/>
        </w:rPr>
      </w:pPr>
      <w:r>
        <w:pict w14:anchorId="3321AEF7">
          <v:group id="_x0000_s1027" style="position:absolute;margin-left:78pt;margin-top:7.5pt;width:457.55pt;height:1.55pt;z-index:251657216;mso-wrap-distance-left:0;mso-wrap-distance-right:0;mso-position-horizontal-relative:page" coordorigin="1560,150" coordsize="9151,31">
            <v:line id="_x0000_s1032" style="position:absolute" from="1560,165" to="10710,165" strokecolor="#818181" strokeweight="1.5pt"/>
            <v:line id="_x0000_s1031" style="position:absolute" from="1560,157" to="10710,157" strokecolor="#818181" strokeweight=".26494mm"/>
            <v:line id="_x0000_s1030" style="position:absolute" from="1560,172" to="10710,172" strokecolor="#818181"/>
            <v:shape id="_x0000_s1029" style="position:absolute;left:1560;top:149;width:15;height:30" coordorigin="1560,150" coordsize="15,30" path="m1560,150r,30l1575,165r-15,-15xe" fillcolor="#818181" stroked="f">
              <v:path arrowok="t"/>
            </v:shape>
            <v:shape id="_x0000_s1028" style="position:absolute;left:10695;top:149;width:15;height:31" coordorigin="10695,150" coordsize="15,31" path="m10710,150r-15,15l10710,180r,-30xe" fillcolor="#818181" stroked="f">
              <v:path arrowok="t"/>
            </v:shape>
            <w10:wrap type="topAndBottom" anchorx="page"/>
          </v:group>
        </w:pict>
      </w:r>
    </w:p>
    <w:p w14:paraId="466AF363" w14:textId="77777777" w:rsidR="00E26947" w:rsidRDefault="0054716A" w:rsidP="0054716A">
      <w:pPr>
        <w:pStyle w:val="BodyText"/>
        <w:spacing w:before="132" w:line="271" w:lineRule="auto"/>
        <w:ind w:left="100" w:right="717"/>
      </w:pPr>
      <w:r>
        <w:t xml:space="preserve">Today, the Government of British Columbia announced a “Homes for BC” 30-point plan: </w:t>
      </w:r>
      <w:hyperlink r:id="rId5">
        <w:r>
          <w:rPr>
            <w:color w:val="0563C1"/>
            <w:u w:val="single" w:color="0563C1"/>
          </w:rPr>
          <w:t>http://bcbudget.gov.bc.ca/2018/homesbc/2018_Homes_For_BC.pdf</w:t>
        </w:r>
      </w:hyperlink>
    </w:p>
    <w:p w14:paraId="1007E87F" w14:textId="77777777" w:rsidR="00E26947" w:rsidRDefault="00E26947" w:rsidP="0054716A">
      <w:pPr>
        <w:pStyle w:val="BodyText"/>
        <w:spacing w:before="7"/>
        <w:rPr>
          <w:sz w:val="22"/>
        </w:rPr>
      </w:pPr>
    </w:p>
    <w:p w14:paraId="1A6F0736" w14:textId="77777777" w:rsidR="00E26947" w:rsidRDefault="0054716A" w:rsidP="0054716A">
      <w:pPr>
        <w:pStyle w:val="BodyText"/>
        <w:spacing w:before="52" w:line="271" w:lineRule="auto"/>
        <w:ind w:left="100" w:right="322"/>
      </w:pPr>
      <w:r>
        <w:t>The plan is wide-ranging and extensive, with policy changes on both the demand and supply side of the housing equati</w:t>
      </w:r>
      <w:r>
        <w:t>on. As expected, most of the measures are focused on improving the state of the rental and non-market segments of the housing market. As feared, other measures, depending on how they are implemented, may lead to the worsening of affordability for market ho</w:t>
      </w:r>
      <w:r>
        <w:t>using. Here are the highlights:</w:t>
      </w:r>
    </w:p>
    <w:p w14:paraId="30746980" w14:textId="77777777" w:rsidR="00E26947" w:rsidRDefault="00E26947" w:rsidP="0054716A">
      <w:pPr>
        <w:pStyle w:val="BodyText"/>
        <w:spacing w:before="7"/>
        <w:rPr>
          <w:sz w:val="26"/>
        </w:rPr>
      </w:pPr>
    </w:p>
    <w:p w14:paraId="7D0026E4" w14:textId="77777777" w:rsidR="00E26947" w:rsidRDefault="0054716A" w:rsidP="0054716A">
      <w:pPr>
        <w:pStyle w:val="BodyText"/>
        <w:ind w:left="100"/>
      </w:pPr>
      <w:r>
        <w:t>Demand-side policy changes:</w:t>
      </w:r>
    </w:p>
    <w:p w14:paraId="09E0FF67" w14:textId="77777777" w:rsidR="00E26947" w:rsidRDefault="00E26947" w:rsidP="0054716A">
      <w:pPr>
        <w:pStyle w:val="BodyText"/>
        <w:spacing w:before="1"/>
        <w:rPr>
          <w:sz w:val="30"/>
        </w:rPr>
      </w:pPr>
    </w:p>
    <w:p w14:paraId="17B2CE97" w14:textId="77777777" w:rsidR="00E26947" w:rsidRDefault="0054716A" w:rsidP="0054716A">
      <w:pPr>
        <w:pStyle w:val="ListParagraph"/>
        <w:numPr>
          <w:ilvl w:val="0"/>
          <w:numId w:val="1"/>
        </w:numPr>
        <w:tabs>
          <w:tab w:val="left" w:pos="274"/>
        </w:tabs>
        <w:spacing w:line="271" w:lineRule="auto"/>
        <w:ind w:right="130" w:firstLine="0"/>
        <w:rPr>
          <w:sz w:val="24"/>
        </w:rPr>
      </w:pPr>
      <w:r>
        <w:rPr>
          <w:sz w:val="24"/>
        </w:rPr>
        <w:t>A “bold new” speculation tax on residential property paired with income tax credits for residents to offset it. In 2018, the tax rate will be $5 per $1,000 of assessed value. In 2019 and beyond,</w:t>
      </w:r>
      <w:r>
        <w:rPr>
          <w:sz w:val="24"/>
        </w:rPr>
        <w:t xml:space="preserve"> it will be $20 per $1,000 of assessed value. The new tax will apply to Metro Vancouver, Fraser Valley, Capital and Nanaimo Regional Districts, and in the municipalities of Kelowna and West</w:t>
      </w:r>
      <w:r>
        <w:rPr>
          <w:spacing w:val="-2"/>
          <w:sz w:val="24"/>
        </w:rPr>
        <w:t xml:space="preserve"> </w:t>
      </w:r>
      <w:r>
        <w:rPr>
          <w:sz w:val="24"/>
        </w:rPr>
        <w:t>Kelowna.</w:t>
      </w:r>
    </w:p>
    <w:p w14:paraId="41AC24DD" w14:textId="77777777" w:rsidR="00E26947" w:rsidRDefault="00E26947" w:rsidP="0054716A">
      <w:pPr>
        <w:pStyle w:val="BodyText"/>
        <w:spacing w:before="7"/>
        <w:rPr>
          <w:sz w:val="26"/>
        </w:rPr>
      </w:pPr>
    </w:p>
    <w:p w14:paraId="040EF9FF" w14:textId="77777777" w:rsidR="00E26947" w:rsidRDefault="0054716A" w:rsidP="0054716A">
      <w:pPr>
        <w:spacing w:before="1" w:line="271" w:lineRule="auto"/>
        <w:ind w:left="100" w:right="215"/>
        <w:rPr>
          <w:i/>
          <w:sz w:val="24"/>
        </w:rPr>
      </w:pPr>
      <w:r>
        <w:rPr>
          <w:i/>
          <w:sz w:val="24"/>
        </w:rPr>
        <w:t xml:space="preserve">NOTE: What is unclear with this new measure is how land </w:t>
      </w:r>
      <w:r>
        <w:rPr>
          <w:i/>
          <w:sz w:val="24"/>
        </w:rPr>
        <w:t xml:space="preserve">purchased for the purposes of development will be treated, since businesses and individuals have different taxes. For example, at the 2019 tax rate, if land valued at $10 million </w:t>
      </w:r>
      <w:proofErr w:type="gramStart"/>
      <w:r>
        <w:rPr>
          <w:i/>
          <w:sz w:val="24"/>
        </w:rPr>
        <w:t>for the purpose of</w:t>
      </w:r>
      <w:proofErr w:type="gramEnd"/>
      <w:r>
        <w:rPr>
          <w:i/>
          <w:sz w:val="24"/>
        </w:rPr>
        <w:t xml:space="preserve"> development is not able to qualify for an exemption, it wo</w:t>
      </w:r>
      <w:r>
        <w:rPr>
          <w:i/>
          <w:sz w:val="24"/>
        </w:rPr>
        <w:t>uld be charged a tax of $200,000. This can seriously impact housing affordability if these costs are not exempted in some way. CHBA BC will be following up with the appropriate ministries to discuss implementation details.</w:t>
      </w:r>
    </w:p>
    <w:p w14:paraId="4D995898" w14:textId="77777777" w:rsidR="00E26947" w:rsidRDefault="00E26947" w:rsidP="0054716A">
      <w:pPr>
        <w:pStyle w:val="BodyText"/>
        <w:spacing w:before="6"/>
        <w:rPr>
          <w:i/>
          <w:sz w:val="26"/>
        </w:rPr>
      </w:pPr>
    </w:p>
    <w:p w14:paraId="0EE89876" w14:textId="77777777" w:rsidR="00E26947" w:rsidRDefault="0054716A" w:rsidP="0054716A">
      <w:pPr>
        <w:pStyle w:val="ListParagraph"/>
        <w:numPr>
          <w:ilvl w:val="0"/>
          <w:numId w:val="1"/>
        </w:numPr>
        <w:tabs>
          <w:tab w:val="left" w:pos="274"/>
        </w:tabs>
        <w:spacing w:line="271" w:lineRule="auto"/>
        <w:ind w:right="117" w:firstLine="0"/>
        <w:rPr>
          <w:sz w:val="24"/>
        </w:rPr>
      </w:pPr>
      <w:r>
        <w:rPr>
          <w:sz w:val="24"/>
        </w:rPr>
        <w:t>Increase of the foreign buyers’ tax to 20% from 15% and applying it to Metro Vancouver, Fraser</w:t>
      </w:r>
      <w:r>
        <w:rPr>
          <w:spacing w:val="-4"/>
          <w:sz w:val="24"/>
        </w:rPr>
        <w:t xml:space="preserve"> </w:t>
      </w:r>
      <w:r>
        <w:rPr>
          <w:sz w:val="24"/>
        </w:rPr>
        <w:t>Valley,</w:t>
      </w:r>
      <w:r>
        <w:rPr>
          <w:spacing w:val="-5"/>
          <w:sz w:val="24"/>
        </w:rPr>
        <w:t xml:space="preserve"> </w:t>
      </w:r>
      <w:r>
        <w:rPr>
          <w:sz w:val="24"/>
        </w:rPr>
        <w:t>Capital</w:t>
      </w:r>
      <w:r>
        <w:rPr>
          <w:spacing w:val="-5"/>
          <w:sz w:val="24"/>
        </w:rPr>
        <w:t xml:space="preserve"> </w:t>
      </w:r>
      <w:r>
        <w:rPr>
          <w:sz w:val="24"/>
        </w:rPr>
        <w:t>and</w:t>
      </w:r>
      <w:r>
        <w:rPr>
          <w:spacing w:val="-4"/>
          <w:sz w:val="24"/>
        </w:rPr>
        <w:t xml:space="preserve"> </w:t>
      </w:r>
      <w:r>
        <w:rPr>
          <w:sz w:val="24"/>
        </w:rPr>
        <w:t>Nanaimo</w:t>
      </w:r>
      <w:r>
        <w:rPr>
          <w:spacing w:val="-5"/>
          <w:sz w:val="24"/>
        </w:rPr>
        <w:t xml:space="preserve"> </w:t>
      </w:r>
      <w:r>
        <w:rPr>
          <w:sz w:val="24"/>
        </w:rPr>
        <w:t>Regional</w:t>
      </w:r>
      <w:r>
        <w:rPr>
          <w:spacing w:val="-5"/>
          <w:sz w:val="24"/>
        </w:rPr>
        <w:t xml:space="preserve"> </w:t>
      </w:r>
      <w:r>
        <w:rPr>
          <w:sz w:val="24"/>
        </w:rPr>
        <w:t>Districts,</w:t>
      </w:r>
      <w:r>
        <w:rPr>
          <w:spacing w:val="-4"/>
          <w:sz w:val="24"/>
        </w:rPr>
        <w:t xml:space="preserve"> </w:t>
      </w:r>
      <w:r>
        <w:rPr>
          <w:sz w:val="24"/>
        </w:rPr>
        <w:t>and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municipalities</w:t>
      </w:r>
      <w:r>
        <w:rPr>
          <w:spacing w:val="-5"/>
          <w:sz w:val="24"/>
        </w:rPr>
        <w:t xml:space="preserve"> </w:t>
      </w:r>
      <w:r>
        <w:rPr>
          <w:sz w:val="24"/>
        </w:rPr>
        <w:t>of</w:t>
      </w:r>
      <w:r>
        <w:rPr>
          <w:spacing w:val="-5"/>
          <w:sz w:val="24"/>
        </w:rPr>
        <w:t xml:space="preserve"> </w:t>
      </w:r>
      <w:r>
        <w:rPr>
          <w:sz w:val="24"/>
        </w:rPr>
        <w:t>Kelowna</w:t>
      </w:r>
      <w:r>
        <w:rPr>
          <w:spacing w:val="-5"/>
          <w:sz w:val="24"/>
        </w:rPr>
        <w:t xml:space="preserve"> </w:t>
      </w:r>
      <w:r>
        <w:rPr>
          <w:sz w:val="24"/>
        </w:rPr>
        <w:t xml:space="preserve">and West Kelowna. The new tax will </w:t>
      </w:r>
      <w:r>
        <w:rPr>
          <w:i/>
          <w:sz w:val="24"/>
        </w:rPr>
        <w:t xml:space="preserve">not </w:t>
      </w:r>
      <w:r>
        <w:rPr>
          <w:sz w:val="24"/>
        </w:rPr>
        <w:t>be applied to existing contracts (i.e</w:t>
      </w:r>
      <w:r>
        <w:rPr>
          <w:sz w:val="24"/>
        </w:rPr>
        <w:t>. not</w:t>
      </w:r>
      <w:r>
        <w:rPr>
          <w:spacing w:val="-19"/>
          <w:sz w:val="24"/>
        </w:rPr>
        <w:t xml:space="preserve"> </w:t>
      </w:r>
      <w:r>
        <w:rPr>
          <w:sz w:val="24"/>
        </w:rPr>
        <w:t>retroactive).</w:t>
      </w:r>
    </w:p>
    <w:p w14:paraId="0C2DA729" w14:textId="77777777" w:rsidR="00E26947" w:rsidRDefault="00E26947" w:rsidP="0054716A">
      <w:pPr>
        <w:pStyle w:val="BodyText"/>
        <w:spacing w:before="9"/>
        <w:rPr>
          <w:sz w:val="26"/>
        </w:rPr>
      </w:pPr>
    </w:p>
    <w:p w14:paraId="612669F1" w14:textId="77777777" w:rsidR="0054716A" w:rsidRDefault="0054716A" w:rsidP="0054716A">
      <w:pPr>
        <w:pStyle w:val="ListParagraph"/>
        <w:numPr>
          <w:ilvl w:val="0"/>
          <w:numId w:val="1"/>
        </w:numPr>
        <w:tabs>
          <w:tab w:val="left" w:pos="274"/>
        </w:tabs>
        <w:spacing w:line="271" w:lineRule="auto"/>
        <w:ind w:right="534" w:firstLine="0"/>
        <w:rPr>
          <w:sz w:val="24"/>
        </w:rPr>
      </w:pPr>
      <w:r>
        <w:rPr>
          <w:sz w:val="24"/>
        </w:rPr>
        <w:t>Increase in the property transfer tax (PTT) to 5% from 3% on the portion of home values over $3</w:t>
      </w:r>
      <w:r>
        <w:rPr>
          <w:spacing w:val="-2"/>
          <w:sz w:val="24"/>
        </w:rPr>
        <w:t xml:space="preserve"> </w:t>
      </w:r>
      <w:r>
        <w:rPr>
          <w:sz w:val="24"/>
        </w:rPr>
        <w:t>million.</w:t>
      </w:r>
    </w:p>
    <w:p w14:paraId="19BB1FFD" w14:textId="77777777" w:rsidR="0054716A" w:rsidRPr="0054716A" w:rsidRDefault="0054716A" w:rsidP="0054716A">
      <w:pPr>
        <w:pStyle w:val="ListParagraph"/>
        <w:rPr>
          <w:sz w:val="24"/>
        </w:rPr>
      </w:pPr>
    </w:p>
    <w:p w14:paraId="3E4D8CC8" w14:textId="4D701D72" w:rsidR="0054716A" w:rsidRPr="0054716A" w:rsidRDefault="0054716A" w:rsidP="0054716A">
      <w:pPr>
        <w:pStyle w:val="ListParagraph"/>
        <w:numPr>
          <w:ilvl w:val="0"/>
          <w:numId w:val="1"/>
        </w:numPr>
        <w:tabs>
          <w:tab w:val="left" w:pos="274"/>
        </w:tabs>
        <w:spacing w:line="271" w:lineRule="auto"/>
        <w:ind w:right="534" w:firstLine="0"/>
        <w:rPr>
          <w:sz w:val="24"/>
        </w:rPr>
      </w:pPr>
      <w:bookmarkStart w:id="0" w:name="_GoBack"/>
      <w:bookmarkEnd w:id="0"/>
      <w:r w:rsidRPr="0054716A">
        <w:rPr>
          <w:sz w:val="24"/>
        </w:rPr>
        <w:t xml:space="preserve">Increase of the annual school tax rate on the portion of home values over $3 million. The tax rate increase, only on the portion </w:t>
      </w:r>
      <w:r w:rsidRPr="0054716A">
        <w:rPr>
          <w:sz w:val="24"/>
        </w:rPr>
        <w:t>above $3 million, will be 0.2 per cent on the portion of residential assessed value that exceeds $3 million but does not exceed $4 million, and a tax rate of 0.4 per cent applies to the portion of residential assessed value that exceeds $4 million.</w:t>
      </w:r>
    </w:p>
    <w:p w14:paraId="401E9F5C" w14:textId="77777777" w:rsidR="0054716A" w:rsidRDefault="0054716A" w:rsidP="0054716A">
      <w:pPr>
        <w:pStyle w:val="ListParagraph"/>
      </w:pPr>
    </w:p>
    <w:p w14:paraId="0F1894A5" w14:textId="1921DB3B" w:rsidR="00E26947" w:rsidRPr="0054716A" w:rsidRDefault="0054716A" w:rsidP="0054716A">
      <w:pPr>
        <w:pStyle w:val="ListParagraph"/>
        <w:tabs>
          <w:tab w:val="left" w:pos="274"/>
        </w:tabs>
        <w:spacing w:line="271" w:lineRule="auto"/>
        <w:ind w:right="121"/>
        <w:rPr>
          <w:i/>
          <w:sz w:val="24"/>
        </w:rPr>
        <w:sectPr w:rsidR="00E26947" w:rsidRPr="0054716A" w:rsidSect="00D55A2A">
          <w:type w:val="continuous"/>
          <w:pgSz w:w="12240" w:h="15840"/>
          <w:pgMar w:top="720" w:right="720" w:bottom="720" w:left="720" w:header="720" w:footer="720" w:gutter="0"/>
          <w:cols w:space="720"/>
          <w:docGrid w:linePitch="299"/>
        </w:sectPr>
      </w:pPr>
      <w:r w:rsidRPr="0054716A">
        <w:rPr>
          <w:i/>
        </w:rPr>
        <w:t xml:space="preserve"> </w:t>
      </w:r>
      <w:r w:rsidRPr="0054716A">
        <w:rPr>
          <w:i/>
          <w:sz w:val="24"/>
        </w:rPr>
        <w:t>N</w:t>
      </w:r>
      <w:r>
        <w:rPr>
          <w:i/>
          <w:sz w:val="24"/>
        </w:rPr>
        <w:t>OTE</w:t>
      </w:r>
      <w:r w:rsidRPr="0054716A">
        <w:rPr>
          <w:i/>
          <w:sz w:val="24"/>
        </w:rPr>
        <w:t>:</w:t>
      </w:r>
      <w:r w:rsidRPr="0054716A">
        <w:rPr>
          <w:sz w:val="24"/>
        </w:rPr>
        <w:t xml:space="preserve"> </w:t>
      </w:r>
      <w:r w:rsidRPr="0054716A">
        <w:rPr>
          <w:i/>
          <w:sz w:val="24"/>
        </w:rPr>
        <w:t>We understand that the changes will also be applied on land parcels used for development. Clearly this does not support the goal of improved affordability of market- housing.</w:t>
      </w:r>
    </w:p>
    <w:p w14:paraId="7042F540" w14:textId="77777777" w:rsidR="00E26947" w:rsidRDefault="00E26947" w:rsidP="0054716A">
      <w:pPr>
        <w:pStyle w:val="BodyText"/>
        <w:spacing w:before="9"/>
        <w:rPr>
          <w:i/>
          <w:sz w:val="26"/>
        </w:rPr>
      </w:pPr>
    </w:p>
    <w:p w14:paraId="53C78079" w14:textId="77777777" w:rsidR="00E26947" w:rsidRDefault="0054716A" w:rsidP="0054716A">
      <w:pPr>
        <w:pStyle w:val="ListParagraph"/>
        <w:numPr>
          <w:ilvl w:val="0"/>
          <w:numId w:val="1"/>
        </w:numPr>
        <w:tabs>
          <w:tab w:val="left" w:pos="274"/>
        </w:tabs>
        <w:spacing w:before="1" w:line="271" w:lineRule="auto"/>
        <w:ind w:right="351" w:firstLine="0"/>
        <w:rPr>
          <w:sz w:val="24"/>
        </w:rPr>
      </w:pPr>
      <w:r>
        <w:rPr>
          <w:sz w:val="24"/>
        </w:rPr>
        <w:t>Developers will be required to provide pre-sale contract info</w:t>
      </w:r>
      <w:r>
        <w:rPr>
          <w:sz w:val="24"/>
        </w:rPr>
        <w:t>rmation to the province whenever an assignment occurs. A new provincial database managed by “a designated provincial office” will be established to collect the data and then share it with provincial and federal tax agencies to check for tax compliance. The</w:t>
      </w:r>
      <w:r>
        <w:rPr>
          <w:sz w:val="24"/>
        </w:rPr>
        <w:t>re is a clear signal, too, that additional future taxes will be applied to assignments.</w:t>
      </w:r>
    </w:p>
    <w:p w14:paraId="27989546" w14:textId="77777777" w:rsidR="00E26947" w:rsidRDefault="00E26947" w:rsidP="0054716A">
      <w:pPr>
        <w:pStyle w:val="BodyText"/>
        <w:spacing w:before="7"/>
        <w:rPr>
          <w:sz w:val="26"/>
        </w:rPr>
      </w:pPr>
    </w:p>
    <w:p w14:paraId="23A366D0" w14:textId="77777777" w:rsidR="00E26947" w:rsidRDefault="0054716A" w:rsidP="0054716A">
      <w:pPr>
        <w:pStyle w:val="ListParagraph"/>
        <w:numPr>
          <w:ilvl w:val="0"/>
          <w:numId w:val="1"/>
        </w:numPr>
        <w:tabs>
          <w:tab w:val="left" w:pos="274"/>
        </w:tabs>
        <w:spacing w:line="271" w:lineRule="auto"/>
        <w:ind w:right="102" w:firstLine="0"/>
        <w:rPr>
          <w:sz w:val="24"/>
        </w:rPr>
      </w:pPr>
      <w:r>
        <w:rPr>
          <w:sz w:val="24"/>
        </w:rPr>
        <w:t>Strengthening of provincial auditing and enforcement powers, including additional buyer information and disclosure for pre-sales, the provincial transfer tax and the H</w:t>
      </w:r>
      <w:r>
        <w:rPr>
          <w:sz w:val="24"/>
        </w:rPr>
        <w:t>omeowner Grant application process.</w:t>
      </w:r>
    </w:p>
    <w:p w14:paraId="4EABFEDF" w14:textId="77777777" w:rsidR="00E26947" w:rsidRDefault="00E26947" w:rsidP="0054716A">
      <w:pPr>
        <w:pStyle w:val="BodyText"/>
        <w:spacing w:before="9"/>
        <w:rPr>
          <w:sz w:val="26"/>
        </w:rPr>
      </w:pPr>
    </w:p>
    <w:p w14:paraId="375D8B87" w14:textId="77777777" w:rsidR="00E26947" w:rsidRDefault="0054716A" w:rsidP="0054716A">
      <w:pPr>
        <w:pStyle w:val="ListParagraph"/>
        <w:numPr>
          <w:ilvl w:val="0"/>
          <w:numId w:val="1"/>
        </w:numPr>
        <w:tabs>
          <w:tab w:val="left" w:pos="274"/>
        </w:tabs>
        <w:spacing w:line="271" w:lineRule="auto"/>
        <w:ind w:right="484" w:firstLine="0"/>
        <w:rPr>
          <w:sz w:val="24"/>
        </w:rPr>
      </w:pPr>
      <w:r>
        <w:rPr>
          <w:sz w:val="24"/>
        </w:rPr>
        <w:t>Review tax treatment of residential property in the Agricultural Land Reserve as part of a broader review of the ALR to ensure land in the ALR is being used for</w:t>
      </w:r>
      <w:r>
        <w:rPr>
          <w:spacing w:val="-8"/>
          <w:sz w:val="24"/>
        </w:rPr>
        <w:t xml:space="preserve"> </w:t>
      </w:r>
      <w:r>
        <w:rPr>
          <w:sz w:val="24"/>
        </w:rPr>
        <w:t>farming.</w:t>
      </w:r>
    </w:p>
    <w:p w14:paraId="1ABE7DB5" w14:textId="77777777" w:rsidR="00E26947" w:rsidRDefault="00E26947" w:rsidP="0054716A">
      <w:pPr>
        <w:pStyle w:val="BodyText"/>
        <w:spacing w:before="11"/>
        <w:rPr>
          <w:sz w:val="26"/>
        </w:rPr>
      </w:pPr>
    </w:p>
    <w:p w14:paraId="18E93D0E" w14:textId="77777777" w:rsidR="00E26947" w:rsidRDefault="0054716A" w:rsidP="0054716A">
      <w:pPr>
        <w:pStyle w:val="BodyText"/>
        <w:ind w:left="100"/>
      </w:pPr>
      <w:r>
        <w:t>Supply-side policy changes:</w:t>
      </w:r>
    </w:p>
    <w:p w14:paraId="46D813AF" w14:textId="77777777" w:rsidR="00E26947" w:rsidRDefault="00E26947" w:rsidP="0054716A">
      <w:pPr>
        <w:pStyle w:val="BodyText"/>
        <w:spacing w:before="1"/>
        <w:rPr>
          <w:sz w:val="30"/>
        </w:rPr>
      </w:pPr>
    </w:p>
    <w:p w14:paraId="6A77F2FE" w14:textId="77777777" w:rsidR="00E26947" w:rsidRDefault="0054716A" w:rsidP="0054716A">
      <w:pPr>
        <w:pStyle w:val="ListParagraph"/>
        <w:numPr>
          <w:ilvl w:val="0"/>
          <w:numId w:val="1"/>
        </w:numPr>
        <w:tabs>
          <w:tab w:val="left" w:pos="274"/>
        </w:tabs>
        <w:spacing w:line="271" w:lineRule="auto"/>
        <w:ind w:right="800" w:firstLine="0"/>
        <w:rPr>
          <w:sz w:val="24"/>
        </w:rPr>
      </w:pPr>
      <w:r>
        <w:rPr>
          <w:sz w:val="24"/>
        </w:rPr>
        <w:t>Significant investments in “affordable housing,” including over $6 billion for 114,000 affordable homes, 14,000 rental units for the “missing middle,” and additional units for homelessness, women fleeing violence, students and Indigenous</w:t>
      </w:r>
      <w:r>
        <w:rPr>
          <w:spacing w:val="-3"/>
          <w:sz w:val="24"/>
        </w:rPr>
        <w:t xml:space="preserve"> </w:t>
      </w:r>
      <w:r>
        <w:rPr>
          <w:sz w:val="24"/>
        </w:rPr>
        <w:t>people.</w:t>
      </w:r>
    </w:p>
    <w:p w14:paraId="16B1F2FC" w14:textId="77777777" w:rsidR="00E26947" w:rsidRDefault="00E26947" w:rsidP="0054716A">
      <w:pPr>
        <w:pStyle w:val="BodyText"/>
        <w:spacing w:before="9"/>
        <w:rPr>
          <w:sz w:val="26"/>
        </w:rPr>
      </w:pPr>
    </w:p>
    <w:p w14:paraId="43C378ED" w14:textId="77777777" w:rsidR="00E26947" w:rsidRDefault="0054716A" w:rsidP="0054716A">
      <w:pPr>
        <w:pStyle w:val="ListParagraph"/>
        <w:numPr>
          <w:ilvl w:val="0"/>
          <w:numId w:val="1"/>
        </w:numPr>
        <w:tabs>
          <w:tab w:val="left" w:pos="274"/>
        </w:tabs>
        <w:ind w:firstLine="0"/>
        <w:rPr>
          <w:sz w:val="24"/>
        </w:rPr>
      </w:pPr>
      <w:r>
        <w:rPr>
          <w:sz w:val="24"/>
        </w:rPr>
        <w:t>Increases</w:t>
      </w:r>
      <w:r>
        <w:rPr>
          <w:sz w:val="24"/>
        </w:rPr>
        <w:t xml:space="preserve"> to the Shelter Air for Elderly Parents (SAFER) and Rental Assistance Program</w:t>
      </w:r>
      <w:r>
        <w:rPr>
          <w:spacing w:val="-24"/>
          <w:sz w:val="24"/>
        </w:rPr>
        <w:t xml:space="preserve"> </w:t>
      </w:r>
      <w:r>
        <w:rPr>
          <w:sz w:val="24"/>
        </w:rPr>
        <w:t>(RAP).</w:t>
      </w:r>
    </w:p>
    <w:p w14:paraId="3D02EB99" w14:textId="77777777" w:rsidR="00E26947" w:rsidRDefault="00E26947" w:rsidP="0054716A">
      <w:pPr>
        <w:pStyle w:val="BodyText"/>
        <w:spacing w:before="1"/>
        <w:rPr>
          <w:sz w:val="30"/>
        </w:rPr>
      </w:pPr>
    </w:p>
    <w:p w14:paraId="34151BB5" w14:textId="77777777" w:rsidR="00E26947" w:rsidRDefault="0054716A" w:rsidP="0054716A">
      <w:pPr>
        <w:pStyle w:val="ListParagraph"/>
        <w:numPr>
          <w:ilvl w:val="0"/>
          <w:numId w:val="1"/>
        </w:numPr>
        <w:tabs>
          <w:tab w:val="left" w:pos="274"/>
        </w:tabs>
        <w:spacing w:line="271" w:lineRule="auto"/>
        <w:ind w:right="259" w:firstLine="0"/>
        <w:rPr>
          <w:sz w:val="24"/>
        </w:rPr>
      </w:pPr>
      <w:r>
        <w:rPr>
          <w:sz w:val="24"/>
        </w:rPr>
        <w:t>Over $1 billion over 10 years for seismic, fire-safety, and energy-efficient retrofits for social housing units.</w:t>
      </w:r>
    </w:p>
    <w:p w14:paraId="28D4C167" w14:textId="77777777" w:rsidR="00E26947" w:rsidRDefault="00E26947" w:rsidP="0054716A">
      <w:pPr>
        <w:pStyle w:val="BodyText"/>
        <w:spacing w:before="10"/>
        <w:rPr>
          <w:sz w:val="26"/>
        </w:rPr>
      </w:pPr>
    </w:p>
    <w:p w14:paraId="050C4D4F" w14:textId="77777777" w:rsidR="00E26947" w:rsidRDefault="0054716A" w:rsidP="0054716A">
      <w:pPr>
        <w:pStyle w:val="ListParagraph"/>
        <w:numPr>
          <w:ilvl w:val="0"/>
          <w:numId w:val="1"/>
        </w:numPr>
        <w:tabs>
          <w:tab w:val="left" w:pos="274"/>
        </w:tabs>
        <w:spacing w:before="1" w:line="271" w:lineRule="auto"/>
        <w:ind w:right="384" w:firstLine="0"/>
        <w:rPr>
          <w:sz w:val="24"/>
        </w:rPr>
      </w:pPr>
      <w:r>
        <w:rPr>
          <w:sz w:val="24"/>
        </w:rPr>
        <w:t>Encourage more rentals with property tax exemptions for purpose-built rentals, and work with the federal government to find more</w:t>
      </w:r>
      <w:r>
        <w:rPr>
          <w:spacing w:val="-2"/>
          <w:sz w:val="24"/>
        </w:rPr>
        <w:t xml:space="preserve"> </w:t>
      </w:r>
      <w:r>
        <w:rPr>
          <w:sz w:val="24"/>
        </w:rPr>
        <w:t>incentives.</w:t>
      </w:r>
    </w:p>
    <w:p w14:paraId="43FE8EB7" w14:textId="77777777" w:rsidR="00E26947" w:rsidRDefault="00E26947" w:rsidP="0054716A">
      <w:pPr>
        <w:pStyle w:val="BodyText"/>
        <w:spacing w:before="10"/>
        <w:rPr>
          <w:sz w:val="26"/>
        </w:rPr>
      </w:pPr>
    </w:p>
    <w:p w14:paraId="17B5D31B" w14:textId="77777777" w:rsidR="00E26947" w:rsidRDefault="0054716A" w:rsidP="0054716A">
      <w:pPr>
        <w:pStyle w:val="ListParagraph"/>
        <w:numPr>
          <w:ilvl w:val="0"/>
          <w:numId w:val="1"/>
        </w:numPr>
        <w:tabs>
          <w:tab w:val="left" w:pos="274"/>
        </w:tabs>
        <w:ind w:firstLine="0"/>
        <w:rPr>
          <w:sz w:val="24"/>
        </w:rPr>
      </w:pPr>
      <w:r>
        <w:rPr>
          <w:sz w:val="24"/>
        </w:rPr>
        <w:t>Increasing density for affordable housing around transit</w:t>
      </w:r>
      <w:r>
        <w:rPr>
          <w:spacing w:val="-3"/>
          <w:sz w:val="24"/>
        </w:rPr>
        <w:t xml:space="preserve"> </w:t>
      </w:r>
      <w:r>
        <w:rPr>
          <w:sz w:val="24"/>
        </w:rPr>
        <w:t>stations.</w:t>
      </w:r>
    </w:p>
    <w:p w14:paraId="3570775E" w14:textId="77777777" w:rsidR="00E26947" w:rsidRDefault="00E26947" w:rsidP="0054716A">
      <w:pPr>
        <w:pStyle w:val="BodyText"/>
        <w:spacing w:before="1"/>
        <w:rPr>
          <w:sz w:val="30"/>
        </w:rPr>
      </w:pPr>
    </w:p>
    <w:p w14:paraId="5B6AB141" w14:textId="68E7691C" w:rsidR="00E26947" w:rsidRPr="00D55A2A" w:rsidRDefault="0054716A" w:rsidP="0054716A">
      <w:pPr>
        <w:pStyle w:val="ListParagraph"/>
        <w:numPr>
          <w:ilvl w:val="0"/>
          <w:numId w:val="1"/>
        </w:numPr>
        <w:tabs>
          <w:tab w:val="left" w:pos="274"/>
        </w:tabs>
        <w:spacing w:line="271" w:lineRule="auto"/>
        <w:ind w:right="142" w:firstLine="0"/>
        <w:rPr>
          <w:sz w:val="24"/>
        </w:rPr>
      </w:pPr>
      <w:r>
        <w:rPr>
          <w:sz w:val="24"/>
        </w:rPr>
        <w:t>A “</w:t>
      </w:r>
      <w:proofErr w:type="spellStart"/>
      <w:r>
        <w:rPr>
          <w:sz w:val="24"/>
        </w:rPr>
        <w:t>HousingHub</w:t>
      </w:r>
      <w:proofErr w:type="spellEnd"/>
      <w:r>
        <w:rPr>
          <w:sz w:val="24"/>
        </w:rPr>
        <w:t>” will be created within BC Housing to facilitate partnerships between groups in the housing sector; to find and develop or re-develop land for affordable housing. This Hub will also serve to support owners who are not familiar with developmen</w:t>
      </w:r>
      <w:r>
        <w:rPr>
          <w:sz w:val="24"/>
        </w:rPr>
        <w:t>t to create affordable housing where it is possible.</w:t>
      </w:r>
    </w:p>
    <w:p w14:paraId="271EFF6E" w14:textId="77777777" w:rsidR="00E26947" w:rsidRDefault="0054716A" w:rsidP="0054716A">
      <w:pPr>
        <w:pStyle w:val="BodyText"/>
        <w:spacing w:before="7"/>
        <w:rPr>
          <w:sz w:val="23"/>
        </w:rPr>
      </w:pPr>
      <w:r>
        <w:pict w14:anchorId="2E41F66C">
          <v:line id="_x0000_s1026" style="position:absolute;z-index:251658240;mso-wrap-distance-left:0;mso-wrap-distance-right:0;mso-position-horizontal-relative:page" from="78pt,16.6pt" to="193.5pt,16.6pt" strokeweight=".42pt">
            <w10:wrap type="topAndBottom" anchorx="page"/>
          </v:line>
        </w:pict>
      </w:r>
    </w:p>
    <w:p w14:paraId="6B39D941" w14:textId="77777777" w:rsidR="00E26947" w:rsidRDefault="00E26947" w:rsidP="0054716A">
      <w:pPr>
        <w:pStyle w:val="BodyText"/>
        <w:spacing w:before="1"/>
        <w:rPr>
          <w:sz w:val="12"/>
        </w:rPr>
      </w:pPr>
    </w:p>
    <w:p w14:paraId="57268752" w14:textId="68AB21F2" w:rsidR="00D55A2A" w:rsidRPr="00D55A2A" w:rsidRDefault="0054716A" w:rsidP="0054716A">
      <w:pPr>
        <w:spacing w:before="79" w:line="254" w:lineRule="auto"/>
        <w:ind w:right="5015"/>
        <w:rPr>
          <w:rFonts w:ascii="Times New Roman"/>
          <w:sz w:val="21"/>
        </w:rPr>
      </w:pPr>
      <w:r>
        <w:rPr>
          <w:rFonts w:ascii="Times New Roman"/>
          <w:b/>
          <w:sz w:val="21"/>
        </w:rPr>
        <w:t xml:space="preserve">Robert (Bob) de Wit </w:t>
      </w:r>
      <w:r>
        <w:rPr>
          <w:rFonts w:ascii="Times New Roman"/>
          <w:sz w:val="21"/>
        </w:rPr>
        <w:t>| CEO</w:t>
      </w:r>
      <w:r w:rsidR="00D55A2A" w:rsidRPr="00D55A2A">
        <w:rPr>
          <w:rFonts w:ascii="Times New Roman"/>
          <w:sz w:val="21"/>
        </w:rPr>
        <w:t xml:space="preserve"> </w:t>
      </w:r>
      <w:r w:rsidR="00D55A2A">
        <w:rPr>
          <w:rFonts w:ascii="Times New Roman"/>
          <w:sz w:val="21"/>
        </w:rPr>
        <w:br/>
      </w:r>
      <w:r w:rsidR="00D55A2A">
        <w:rPr>
          <w:rFonts w:ascii="Times New Roman"/>
          <w:sz w:val="21"/>
        </w:rPr>
        <w:t xml:space="preserve">Greater Vancouver Home Builders' Association </w:t>
      </w:r>
      <w:r w:rsidR="00D55A2A">
        <w:rPr>
          <w:rFonts w:ascii="Times New Roman"/>
          <w:sz w:val="21"/>
        </w:rPr>
        <w:br/>
      </w:r>
      <w:r w:rsidR="00D55A2A">
        <w:rPr>
          <w:rFonts w:ascii="Times New Roman"/>
          <w:i/>
          <w:sz w:val="21"/>
        </w:rPr>
        <w:t xml:space="preserve">The Voice of the residential construction industry </w:t>
      </w:r>
      <w:r w:rsidR="00D55A2A">
        <w:rPr>
          <w:rFonts w:ascii="Times New Roman"/>
          <w:i/>
          <w:sz w:val="21"/>
        </w:rPr>
        <w:br/>
      </w:r>
      <w:r w:rsidR="00D55A2A">
        <w:rPr>
          <w:rFonts w:ascii="Times New Roman"/>
          <w:sz w:val="21"/>
        </w:rPr>
        <w:t xml:space="preserve">T </w:t>
      </w:r>
      <w:r w:rsidR="00D55A2A">
        <w:rPr>
          <w:rFonts w:ascii="Times New Roman"/>
          <w:color w:val="0000FF"/>
          <w:sz w:val="21"/>
          <w:u w:val="single" w:color="0563C1"/>
        </w:rPr>
        <w:t>604.916.3434</w:t>
      </w:r>
      <w:r w:rsidR="00D55A2A">
        <w:rPr>
          <w:rFonts w:ascii="Times New Roman"/>
          <w:sz w:val="21"/>
        </w:rPr>
        <w:t xml:space="preserve">    </w:t>
      </w:r>
      <w:r w:rsidR="00D55A2A">
        <w:rPr>
          <w:rFonts w:ascii="Times New Roman"/>
          <w:sz w:val="21"/>
        </w:rPr>
        <w:t>@</w:t>
      </w:r>
      <w:proofErr w:type="spellStart"/>
      <w:r w:rsidR="00D55A2A">
        <w:rPr>
          <w:rFonts w:ascii="Times New Roman"/>
          <w:sz w:val="21"/>
        </w:rPr>
        <w:t>rdewit</w:t>
      </w:r>
      <w:proofErr w:type="spellEnd"/>
      <w:r w:rsidR="00D55A2A">
        <w:rPr>
          <w:rFonts w:ascii="Times New Roman"/>
          <w:sz w:val="21"/>
        </w:rPr>
        <w:t xml:space="preserve">   </w:t>
      </w:r>
      <w:r w:rsidR="00D55A2A">
        <w:rPr>
          <w:rFonts w:ascii="Times New Roman"/>
          <w:sz w:val="21"/>
        </w:rPr>
        <w:br/>
      </w:r>
      <w:r w:rsidR="00D55A2A">
        <w:rPr>
          <w:rFonts w:ascii="Times New Roman"/>
          <w:i/>
          <w:sz w:val="21"/>
        </w:rPr>
        <w:t>Dedicated to your success!</w:t>
      </w:r>
    </w:p>
    <w:p w14:paraId="7C22415B" w14:textId="77777777" w:rsidR="00D55A2A" w:rsidRDefault="00D55A2A" w:rsidP="0054716A">
      <w:pPr>
        <w:rPr>
          <w:rFonts w:ascii="Times New Roman" w:hAnsi="Times New Roman"/>
          <w:b/>
          <w:sz w:val="21"/>
        </w:rPr>
      </w:pPr>
      <w:r>
        <w:rPr>
          <w:rFonts w:ascii="Times New Roman" w:hAnsi="Times New Roman"/>
          <w:b/>
          <w:sz w:val="21"/>
        </w:rPr>
        <w:t>Check out what’s happening:</w:t>
      </w:r>
    </w:p>
    <w:p w14:paraId="1B2F1AF0" w14:textId="4E061CDE" w:rsidR="00E26947" w:rsidRDefault="00D55A2A" w:rsidP="0054716A">
      <w:pPr>
        <w:spacing w:before="14"/>
        <w:rPr>
          <w:rFonts w:ascii="Times New Roman"/>
          <w:sz w:val="21"/>
        </w:rPr>
        <w:sectPr w:rsidR="00E26947" w:rsidSect="00D55A2A">
          <w:pgSz w:w="12240" w:h="15840"/>
          <w:pgMar w:top="720" w:right="720" w:bottom="720" w:left="720" w:header="720" w:footer="720" w:gutter="0"/>
          <w:cols w:space="720"/>
          <w:docGrid w:linePitch="299"/>
        </w:sectPr>
      </w:pPr>
      <w:hyperlink r:id="rId6">
        <w:r>
          <w:rPr>
            <w:rFonts w:ascii="Times New Roman"/>
            <w:color w:val="0000FF"/>
            <w:sz w:val="21"/>
            <w:u w:val="single" w:color="0563C1"/>
          </w:rPr>
          <w:t>gvhba.o</w:t>
        </w:r>
        <w:r>
          <w:rPr>
            <w:rFonts w:ascii="Times New Roman"/>
            <w:color w:val="0000FF"/>
            <w:sz w:val="21"/>
            <w:u w:val="single" w:color="0563C1"/>
          </w:rPr>
          <w:t>rg/</w:t>
        </w:r>
        <w:proofErr w:type="spellStart"/>
        <w:r>
          <w:rPr>
            <w:rFonts w:ascii="Times New Roman"/>
            <w:color w:val="0000FF"/>
            <w:sz w:val="21"/>
            <w:u w:val="single" w:color="0563C1"/>
          </w:rPr>
          <w:t>eventcalendar</w:t>
        </w:r>
        <w:proofErr w:type="spellEnd"/>
      </w:hyperlink>
    </w:p>
    <w:p w14:paraId="432D123E" w14:textId="74BEC5B2" w:rsidR="00E26947" w:rsidRDefault="00E26947" w:rsidP="0054716A"/>
    <w:sectPr w:rsidR="00E26947">
      <w:pgSz w:w="12240" w:h="15840"/>
      <w:pgMar w:top="1000" w:right="148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370"/>
    <w:multiLevelType w:val="hybridMultilevel"/>
    <w:tmpl w:val="1A0696F8"/>
    <w:lvl w:ilvl="0" w:tplc="31888598">
      <w:numFmt w:val="bullet"/>
      <w:lvlText w:val="•"/>
      <w:lvlJc w:val="left"/>
      <w:pPr>
        <w:ind w:left="100" w:hanging="174"/>
      </w:pPr>
      <w:rPr>
        <w:rFonts w:ascii="Calibri Light" w:eastAsia="Calibri Light" w:hAnsi="Calibri Light" w:cs="Calibri Light" w:hint="default"/>
        <w:w w:val="100"/>
        <w:sz w:val="24"/>
        <w:szCs w:val="24"/>
      </w:rPr>
    </w:lvl>
    <w:lvl w:ilvl="1" w:tplc="B22853C2">
      <w:numFmt w:val="bullet"/>
      <w:lvlText w:val="•"/>
      <w:lvlJc w:val="left"/>
      <w:pPr>
        <w:ind w:left="1020" w:hanging="174"/>
      </w:pPr>
      <w:rPr>
        <w:rFonts w:hint="default"/>
      </w:rPr>
    </w:lvl>
    <w:lvl w:ilvl="2" w:tplc="B176A5BA">
      <w:numFmt w:val="bullet"/>
      <w:lvlText w:val="•"/>
      <w:lvlJc w:val="left"/>
      <w:pPr>
        <w:ind w:left="1940" w:hanging="174"/>
      </w:pPr>
      <w:rPr>
        <w:rFonts w:hint="default"/>
      </w:rPr>
    </w:lvl>
    <w:lvl w:ilvl="3" w:tplc="4538C8D6">
      <w:numFmt w:val="bullet"/>
      <w:lvlText w:val="•"/>
      <w:lvlJc w:val="left"/>
      <w:pPr>
        <w:ind w:left="2860" w:hanging="174"/>
      </w:pPr>
      <w:rPr>
        <w:rFonts w:hint="default"/>
      </w:rPr>
    </w:lvl>
    <w:lvl w:ilvl="4" w:tplc="638A19D2">
      <w:numFmt w:val="bullet"/>
      <w:lvlText w:val="•"/>
      <w:lvlJc w:val="left"/>
      <w:pPr>
        <w:ind w:left="3780" w:hanging="174"/>
      </w:pPr>
      <w:rPr>
        <w:rFonts w:hint="default"/>
      </w:rPr>
    </w:lvl>
    <w:lvl w:ilvl="5" w:tplc="EEC0E03C">
      <w:numFmt w:val="bullet"/>
      <w:lvlText w:val="•"/>
      <w:lvlJc w:val="left"/>
      <w:pPr>
        <w:ind w:left="4700" w:hanging="174"/>
      </w:pPr>
      <w:rPr>
        <w:rFonts w:hint="default"/>
      </w:rPr>
    </w:lvl>
    <w:lvl w:ilvl="6" w:tplc="F24E3BF6">
      <w:numFmt w:val="bullet"/>
      <w:lvlText w:val="•"/>
      <w:lvlJc w:val="left"/>
      <w:pPr>
        <w:ind w:left="5620" w:hanging="174"/>
      </w:pPr>
      <w:rPr>
        <w:rFonts w:hint="default"/>
      </w:rPr>
    </w:lvl>
    <w:lvl w:ilvl="7" w:tplc="96F233C6">
      <w:numFmt w:val="bullet"/>
      <w:lvlText w:val="•"/>
      <w:lvlJc w:val="left"/>
      <w:pPr>
        <w:ind w:left="6540" w:hanging="174"/>
      </w:pPr>
      <w:rPr>
        <w:rFonts w:hint="default"/>
      </w:rPr>
    </w:lvl>
    <w:lvl w:ilvl="8" w:tplc="8A626F38">
      <w:numFmt w:val="bullet"/>
      <w:lvlText w:val="•"/>
      <w:lvlJc w:val="left"/>
      <w:pPr>
        <w:ind w:left="7460" w:hanging="17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26947"/>
    <w:rsid w:val="0054716A"/>
    <w:rsid w:val="00D55A2A"/>
    <w:rsid w:val="00E269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317CD0A"/>
  <w15:docId w15:val="{F2550203-A498-41C8-820E-41DF53F5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vhba.org/eventcalendar" TargetMode="External"/><Relationship Id="rId5" Type="http://schemas.openxmlformats.org/officeDocument/2006/relationships/hyperlink" Target="http://bcbudget.gov.bc.ca/2018/homesbc/2018_Homes_For_B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Amanda Camara</cp:lastModifiedBy>
  <cp:revision>3</cp:revision>
  <dcterms:created xsi:type="dcterms:W3CDTF">2018-02-21T17:03:00Z</dcterms:created>
  <dcterms:modified xsi:type="dcterms:W3CDTF">2018-02-21T17:07:00Z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Acrobat PDFMaker 18 for Microsoft Outlook</vt:lpwstr>
  </property>
  <property fmtid="{D5CDD505-2E9C-101B-9397-08002B2CF9AE}" pid="4" name="LastSaved">
    <vt:filetime>2018-02-21T00:00:00Z</vt:filetime>
  </property>
</Properties>
</file>